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71ED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71ED8" w:rsidRDefault="008C7F6B" w:rsidP="008C7F6B">
            <w:pPr>
              <w:pStyle w:val="Naslov1"/>
            </w:pPr>
            <w:bookmarkStart w:id="0" w:name="_GoBack"/>
            <w:bookmarkEnd w:id="0"/>
            <w:r>
              <w:t>RKP broj</w:t>
            </w:r>
          </w:p>
        </w:tc>
        <w:tc>
          <w:tcPr>
            <w:tcW w:w="0" w:type="auto"/>
            <w:shd w:val="clear" w:color="auto" w:fill="E7F0F9"/>
          </w:tcPr>
          <w:p w:rsidR="00171ED8" w:rsidRDefault="008C7F6B">
            <w:pPr>
              <w:spacing w:after="0" w:line="240" w:lineRule="auto"/>
            </w:pPr>
            <w:r>
              <w:t>28991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71ED8" w:rsidRDefault="008C7F6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71ED8" w:rsidRDefault="008C7F6B">
            <w:pPr>
              <w:spacing w:after="0" w:line="240" w:lineRule="auto"/>
            </w:pPr>
            <w:r>
              <w:t>GRAD KUTINA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71ED8" w:rsidRDefault="008C7F6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71ED8" w:rsidRDefault="008C7F6B">
            <w:pPr>
              <w:spacing w:after="0" w:line="240" w:lineRule="auto"/>
            </w:pPr>
            <w:r>
              <w:t>22</w:t>
            </w:r>
          </w:p>
        </w:tc>
      </w:tr>
    </w:tbl>
    <w:p w:rsidR="00171ED8" w:rsidRDefault="008C7F6B">
      <w:r>
        <w:br/>
      </w:r>
    </w:p>
    <w:p w:rsidR="00171ED8" w:rsidRDefault="008C7F6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71ED8" w:rsidRDefault="008C7F6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71ED8" w:rsidRDefault="008C7F6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20.701.395,85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21.706.323,06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17.224.297,26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18.615.508,86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171ED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3.477.098,59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3.090.814,20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88,9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250.775,11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123.261,38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49,2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4.302.196,24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9.316.355,39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216,5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171ED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4.051.421,13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9.193.094,01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226,9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746.583,52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5.330.464,71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714,0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</w:t>
            </w:r>
            <w:r>
              <w:rPr>
                <w:sz w:val="18"/>
              </w:rPr>
              <w:t>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966.967,73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986.723,68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171ED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4.343.741,03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171ED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794.706,75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1.758.538,78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221,3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Ukupno ostvareni prihodi poslovanja u izvještajnom razdoblju 01. 01. -31. 12. 2025. godine su u iznosu od 21.706.323,06 eura. Najznačajnije povećanje istih ostvareno je od poreznih prihoda. Isto tako, značajnije povećanje je i od kapitalnih pomoći temeljem</w:t>
      </w:r>
      <w:r>
        <w:t xml:space="preserve"> prijenosa EU sredstava koje je jednim dijelom nastalo temeljem upute o korekciji prenesenog rezultata kod korisnika EU projekata gdje se predujam uplaćen u 2024. godini korekcijom priznaje kao prihod u 2025. godini. Najznačajnija smanjenja prihoda poslova</w:t>
      </w:r>
      <w:r>
        <w:t xml:space="preserve">nja ostvarena su kod tekućih </w:t>
      </w:r>
      <w:r>
        <w:lastRenderedPageBreak/>
        <w:t>pomoći proračunu iz drugih proračuna, umanjenja su nastala zbog ostvarene pomoći za elementarne nepogode u 2024. godini i zbog promjene načina evidentiranja pomoći fiskalnog izravnanjakoje se više ne evidentiraju unutar ove sku</w:t>
      </w:r>
      <w:r>
        <w:t>pine prihoda. Ukupno ostvareni rashodi poslovanja u izvještajnom razdoblju su u iznosu od 18.615.508,86 eura. Najznačajnija povećanja rashoda su na rashodima za zaposlene zbog povećanja plaća, na materijalnim rashodima zbog pojačanog održavanja imovine Gra</w:t>
      </w:r>
      <w:r>
        <w:t>da, povećani su rashodi za proračunske korisnike iz gradskih izvora, te jedno od značajnijih povećanja je i dana kapitalna donacija vjerskoj zajednici. Najznačajnija smanjenja su na troškovima sudskih postupaka koji još nisu realizirani, na kapitalnim pomo</w:t>
      </w:r>
      <w:r>
        <w:t>ćima drugom proračunu i izvanproračunskim korisnicima. Prihodi od prodaje nefinancijske imovine ostvareni su u iznosu od 123.261,38 eura. Osnovni razlog ostvarivanja ovih prihoda u puno manjem postotku u odnosu na isto razdoblje prethodne godine je neostva</w:t>
      </w:r>
      <w:r>
        <w:t xml:space="preserve">rivanje prihoda od prodaje zemljišta, te manji prihodi od otkupa stanova jer je većina istih otplaćena. Ukupni rashodi za nabavu nefinancijske imovine ostvareni su u iznosu od 9.316.355,39 eura. Najznačajnije povećanje rashoda na nefinancijskoj imovini je </w:t>
      </w:r>
      <w:r>
        <w:t xml:space="preserve">na investicijama vezanim za izgradnju poslovnih objekata, te opremanju istih, te izgradnja cesta i nogostupa, a najznačajnija smanjenja vezana su uz nabavu opreme </w:t>
      </w:r>
      <w:proofErr w:type="gramStart"/>
      <w:r>
        <w:t>( u</w:t>
      </w:r>
      <w:proofErr w:type="gramEnd"/>
      <w:r>
        <w:t xml:space="preserve"> 2024. godini nabavljena je oprema za projekt CDŠ - za osnovne škole. Ukupni primici od fi</w:t>
      </w:r>
      <w:r>
        <w:t>nancijske imovine i zaduživanja ostvareni su u iznosu od 5.330.464,71 eura, djelomično su realizirani krediti od kreditnih institucija u javnom sektoru, a realizacija istih povezana je s dinamikom ostvarivanja kapitalnih investicija za koje su osigurana kr</w:t>
      </w:r>
      <w:r>
        <w:t>editna sredstva. Ukupni izdaci za financijsku imovinu i otplate zajmova u izvještajnom razdoblju ostvareni su u iznosu od 986.723,68 eura i odnose se na otplate glavnice primljenih kredita. U razdoblju od 01. 01. - 31. 12. 2025. godine ostvaren je višak pr</w:t>
      </w:r>
      <w:r>
        <w:t>ihoda poslovanja u iznosu od 3.090.814,20 eura, manjak prihoda od nefinancijske imovine u iznosu od 9.193.094,01 eura i višak od financijske imovine i zaduživanja u iznosu od 4.343.741,03 eura slijedom čega je na kraju izvještajnog razdoblja ostvaren ukupa</w:t>
      </w:r>
      <w:r>
        <w:t>n manjak prihoda i primitaka u iznosu od 1.758.538,78 eura.</w:t>
      </w:r>
    </w:p>
    <w:p w:rsidR="00171ED8" w:rsidRDefault="008C7F6B">
      <w:r>
        <w:br/>
      </w:r>
    </w:p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Porez na dohodak (šifre </w:t>
            </w:r>
            <w:r>
              <w:rPr>
                <w:sz w:val="18"/>
              </w:rPr>
              <w:t>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8.104.520,71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9.435.288,81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Prihodi od poreza na dohodak povećani su za 16,4% u odnosu na isto razdoblje prethodne godine i najznačajnije povećanje je kod poreza na dohodak od nesamostalnog rada vezano za rast plaća na razini grada.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37.885,39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99.968,88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263,9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je nastalo zbog uvođenja poreza na kuće za odmor.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51.434,36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66.227,93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poreza na potrošnju alkoholnih i bezalkoholnih pića za 28,8% u odnosu na isto razdoblje 2024. godine, a zaduženje istog evidentirano je prema evidenciji Porezne uprave.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738.706,18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17.919,16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Značajno smanjenje u odnosu na isto razdoblje prethodne godine, a odnosi se </w:t>
      </w:r>
      <w:proofErr w:type="gramStart"/>
      <w:r>
        <w:t>na  pomoć</w:t>
      </w:r>
      <w:proofErr w:type="gramEnd"/>
      <w:r>
        <w:t xml:space="preserve"> iz županijskog proračuna za izbore. Značajna razlika u odnosu na 2024. godinu nastala je zbog dodijeljenih sredstava u 2024. godini za elementarnu nepogodu i zbog promjen</w:t>
      </w:r>
      <w:r>
        <w:t>e načina evidentiranja pomoći fiskalnog izravnanja u 2025. godini.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</w:t>
            </w:r>
            <w:r>
              <w:rPr>
                <w:sz w:val="18"/>
              </w:rPr>
              <w:t>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753.753,11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551.326,30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73,1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Smanjenje u odnosu na isto razdoblje prethodne godine obuhvaća pomoć za projekt CDŠ u dvije osnovne škole, sredstva za nogostup i dječja igrališta, te uređenje sportskog terena. 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29.636,18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35.177,79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Primljena su sredstva za sanaciju otpada, te sredstva HZZ-a za projekt javnih radova.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131.663,20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75.355,55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57,2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Primljena je kapitalna pomoć od izvanproračunskog korisnika za radove na klizištu.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2.586.828,44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2.989.738,30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2024. godine, nastalo zbog povećanja fiskalnog izravnanja za Grad i više isplaćenih sredstava za fiskalnu održivost dječjeg vrtića.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1.775.842,98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2.444.172,91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u odnosu na isto razdoblje 2024. godine, </w:t>
      </w:r>
      <w:proofErr w:type="gramStart"/>
      <w:r>
        <w:t>a</w:t>
      </w:r>
      <w:proofErr w:type="gramEnd"/>
      <w:r>
        <w:t xml:space="preserve"> odnosi se na primljena sredstva za projekte, društveni dom Repušnica, Urbana mreža zelene infrastrukture, energetske obnove objekata Grada, te priznavanje prihoda u 2025.g. temeljem primljenih predujmova</w:t>
      </w:r>
      <w:r>
        <w:t xml:space="preserve"> u 2024. godini za projekte dječji vrtić </w:t>
      </w:r>
      <w:proofErr w:type="gramStart"/>
      <w:r>
        <w:t>Kutina  i</w:t>
      </w:r>
      <w:proofErr w:type="gramEnd"/>
      <w:r>
        <w:t xml:space="preserve"> Kutinska Slatina, a sve sukladno Uputi o evidentiranju uplaćenih predujmova vezano za prihode od pomoći temeljem prijenosa EU sredstava.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36.429,69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11.373,72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31,2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Smanjenje u odnosu na isto razdoblje 2024. godine, nije nastavljeno oročenje sredstava i smanjen je prihod od istog.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250.188,89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297.100,49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u odnosu na isto razdoblje 2024. godine, </w:t>
      </w:r>
      <w:proofErr w:type="gramStart"/>
      <w:r>
        <w:t>a</w:t>
      </w:r>
      <w:proofErr w:type="gramEnd"/>
      <w:r>
        <w:t xml:space="preserve"> odnosi se na zakup i iznajmljivanja poslovnih i stambenih prostora, zakupa građevinskog zemljišta u vlasništvu Grada. Povećan je prihod od najma društvenih domova po Mjesnim odborima koji su isto tako u </w:t>
      </w:r>
      <w:r>
        <w:t>vlasništvu Grada.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27.821,23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51.980,84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186,8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u odnosu na isto razdoblje porethodne godine, </w:t>
      </w:r>
      <w:proofErr w:type="gramStart"/>
      <w:r>
        <w:t>a</w:t>
      </w:r>
      <w:proofErr w:type="gramEnd"/>
      <w:r>
        <w:t xml:space="preserve"> odnosi se na refundaciju štete od osiguravajućeg društva, te uplatu po ošasnoj imovini.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50.210,20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67.394,53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134,2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prihoda, </w:t>
      </w:r>
      <w:proofErr w:type="gramStart"/>
      <w:r>
        <w:t>a</w:t>
      </w:r>
      <w:proofErr w:type="gramEnd"/>
      <w:r>
        <w:t xml:space="preserve"> odnosi se na uslugu naplate naknade za uređenje voda.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6.670,64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13.972,47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209,5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u odnosu na isto razdoblje prethodne godine, </w:t>
      </w:r>
      <w:proofErr w:type="gramStart"/>
      <w:r>
        <w:t>a</w:t>
      </w:r>
      <w:proofErr w:type="gramEnd"/>
      <w:r>
        <w:t xml:space="preserve"> odnosi se na povećan broj naplaćenih kazni koje provodi komunalno redarstvo.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1.389.931,69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1.723.307,19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2024. godine nastalo zbog povećanja plaća i povećanja broja djelatnika.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18.840,47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24.159,91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rashoda za prekovremeni rad nastalo zbog povećanja obujma poslova na pojedinim radnim mjestima.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142.919,02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158.560,83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Razlog povećanja je veći broj naknada za smrtni slučaj i bolovanje, otpremnine, te povećan iznos naknade za topli obrok.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9.787,85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12.572,95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128,5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 broj stručnih usavršavanja putem seminara i webinara.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6.786,64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1275,3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u odnosu na isto razdoblje 2024. godine, </w:t>
      </w:r>
      <w:proofErr w:type="gramStart"/>
      <w:r>
        <w:t>a</w:t>
      </w:r>
      <w:proofErr w:type="gramEnd"/>
      <w:r>
        <w:t xml:space="preserve"> obuhvaća nabavu materijala za održavanje objekata i ostale imovine Grada.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10.424,34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33.988,58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326,1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Povećana nabava inventara za objekte Grada (mjesni domovi), nabava opreme za Gradsku upravu.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1.982.176,37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2.253.957,66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2024. godine, a na povećanje su utjecali povećani troškovi na sanaciji cesta, popravak staza, nogostupa i parkirališta, popravak makadama, tekuće i investicijsko održavanje građevinskih objekata u vlasništvu Grada.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</w:t>
      </w:r>
      <w:r>
        <w:rPr>
          <w:sz w:val="28"/>
        </w:rPr>
        <w:t>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34.587,03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58.804,48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170,0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prethodne godine, povećani troškovi promidžbenih materijala vezano uz projekte, te troškovi izbora.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409.120,89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505.159,37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prethodne godine, najznačajniji rashodi su Usluge odvjetnika i pravnog savjetovanja, Geodetsko-katastarske usluge, Izrada idejnog projekta za ishođenje lokacijske dozvole za bušotinu Batina 1, te izrada evidencije nekre</w:t>
      </w:r>
      <w:r>
        <w:t>tnina.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41.873,67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50.896,38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prethodne godine zbog postavljanja novih usluga.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43.543,15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1,1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Značajno smanjenje troškova, u 2024.g. su realizirani projekti koji su obuhvaćali i studijska putovanja.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86.813,32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162.602,46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187,3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nastalo zbog troškova za izbore održanih u 5. i 6. mjesecu 2025. godine.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36.455,27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1200,3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nastalo zbog troška za interkalarne kamate po kreditu HBOR-a, te plaćanje redovne kamate po novom kreditu.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705.304,18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125.307,02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17,8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Troškovi su vezani uz sufinanciranje izvanproračunskog korisnika za pojačano održavanje cesta.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54.484,48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69.020,48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zbog ispravka knjiženja pomoći proračunskim korisnicima, veza konto 3631. Na tom računu je smanjen trošak.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5.768.837,91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7.135.598,32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nastalo najvećim dijelom zbog povećanja plaća.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financijsku imovinu i otplatu zajmova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124.693,92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37.055,06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29,7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Smanjenje u odnosu na isto razdoblje 2024. godine nastalo zbog otplaćenih kredita Športskog centra i Vatrogasne postrojbe.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474.815,74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949.814,64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nastalo zbog provođenja programa potpore za kupnju prve nekretnine za stanovanje mladih.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1.692.890,19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2.058.783,33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2024.g. nastalo zbog povećanih planiranih i isplaćenih rashoda za Udruge Grada.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Nema usporednog podatka iz 2024. godine, ista se odnosi na najam prijevoznih sredstava za gradske udruge.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279.620,42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1035,6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Višestruko povećanje u odnosu na isto razdoblje 2024. godine zbog donacije sredstava Župi Marije Snježne za Pastoralni centar.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i zadrugama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176.567,50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65.977,60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Smanjenje u odnosu na isto razdoblje 2024. godine, </w:t>
      </w:r>
      <w:proofErr w:type="gramStart"/>
      <w:r>
        <w:t>a</w:t>
      </w:r>
      <w:proofErr w:type="gramEnd"/>
      <w:r>
        <w:t xml:space="preserve"> odnosi se na dodijeljenu de minimis potporu.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237.292,53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119.351,68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50,3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Smanjenje u odnosu na isto razdoblje 2024. godine nastalo zbog smanjene dinamike prodaje zemljišta.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13.482,58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29,0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Smanjenje u odnosu na isto razdoblje 2024. godine. Kako je otkup stanova na kojima postoji stanarsko pravo pri kraju, veći dio obveznika plaćanja istog podmirio je obvezu, te su se smanjili i prihodi od istog.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620.623,20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3.229.648,14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520,4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u odnosu na isto razdoblje 2024. godine, </w:t>
      </w:r>
      <w:proofErr w:type="gramStart"/>
      <w:r>
        <w:t>a</w:t>
      </w:r>
      <w:proofErr w:type="gramEnd"/>
      <w:r>
        <w:t xml:space="preserve"> odnosi se na građevinske radove vezane za izgradnju objekata Grada (dječji vrtići).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983.337,64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2.792.944,39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284,0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2024. godine odnosi se na rekonstrukciju i izgradnju pješačko biciklističkih staza i nerazvrstanih cesta.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173.757,73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3247,8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Višestruko povećanje u odnosu na isto razdoblje 2024. godine odnosi se na projekte - izgradnja dječjih igrališta, te radovi na sportskom terenu.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345.575,97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214.052,25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61,9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Veće smanjenje u odnosu na isto razdoblje 2024. godine nastalo zbog provedenog projekta koji je završio u 2024. godini.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35.895,68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7,6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Višestruko smanjenje u odnosu na isto razdoblje 2024. godine, </w:t>
      </w:r>
      <w:proofErr w:type="gramStart"/>
      <w:r>
        <w:t>a</w:t>
      </w:r>
      <w:proofErr w:type="gramEnd"/>
      <w:r>
        <w:t xml:space="preserve"> odnosi se na nabavu opreme za civilnu zaštitu. U 2024. godini nabavljena je oprema prema projektu CDŠ za OŠ, te su zbog navedenog ostvareni veći rashodi.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38.564,10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Višestruko smanjenje u odnosu na isto razdoblje 2024. godine, u istoj je nabavljena oprema vezana za projekt CDŠ - za OŠ.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143.588,29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249.663,93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173,9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u odnosu na isto </w:t>
      </w:r>
      <w:proofErr w:type="gramStart"/>
      <w:r>
        <w:t>razdoblje  2024</w:t>
      </w:r>
      <w:proofErr w:type="gramEnd"/>
      <w:r>
        <w:t>. godine zbog povećane nabave opreme i uređaja za objekte Grada.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33.023,38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2028,8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2024. godine nastalo zbog troška izrade aplikacije Moj Grad, te nastalih troškova za promidžbu gospodarstva.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1.645.631,83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2.307.802,25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140,2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2024. godine, povećani troškovi zbog izvođenja građevinskih radova na objektima Grada.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5.330.464,71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717,4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je nastalo zbog povlačenja kreditnih sredstava za izgradnju i rekonstrukciju nogostupa i cesta, radova na dječjim vrtićima, Poduzetničkom inkubatoru, te energetskoj obnovi objekata Grada.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Dionice i udjeli u glavnici tuzemnih trgovačkih društava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Nema usporednog podatka iz 2024. godine, </w:t>
      </w:r>
      <w:proofErr w:type="gramStart"/>
      <w:r>
        <w:t>a</w:t>
      </w:r>
      <w:proofErr w:type="gramEnd"/>
      <w:r>
        <w:t xml:space="preserve"> odnosi se na otkup poslovnog udjela.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89.860,68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238.460,76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2024. godine, otplata dva kredita HBOR-a.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932.307,74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Manjak prihoda i primitaka - preneseni u iznosu od 932.307,74 je korigiran jer je donesena Odluka o rasporedu rezultata ostvarenog u 2024. godini. Prema Odluci za iznos od 1.680.872,61 zadužuje se višak prihoda poslovanja, </w:t>
      </w:r>
      <w:proofErr w:type="gramStart"/>
      <w:r>
        <w:t>a</w:t>
      </w:r>
      <w:proofErr w:type="gramEnd"/>
      <w:r>
        <w:t xml:space="preserve"> odobrava manjak prihoda od nefi</w:t>
      </w:r>
      <w:r>
        <w:t xml:space="preserve">nancijske imovine. Za iznos od 963.384,21 zadužuje se višak prihoda poslovanja, </w:t>
      </w:r>
      <w:proofErr w:type="gramStart"/>
      <w:r>
        <w:t>a</w:t>
      </w:r>
      <w:proofErr w:type="gramEnd"/>
      <w:r>
        <w:t xml:space="preserve"> odobrava manjak primitaka od financijske imovine. Za iznos od 743.000,00 zadužuje se manjak primitaka od financijske imovine, </w:t>
      </w:r>
      <w:proofErr w:type="gramStart"/>
      <w:r>
        <w:t>a</w:t>
      </w:r>
      <w:proofErr w:type="gramEnd"/>
      <w:r>
        <w:t xml:space="preserve"> odobrava manjak prihoda od nefinancijske imovi</w:t>
      </w:r>
      <w:r>
        <w:t>ne.</w:t>
      </w:r>
    </w:p>
    <w:p w:rsidR="00171ED8" w:rsidRDefault="008C7F6B">
      <w:r>
        <w:t>Rezultat nakon knjiženja Odluke je sljedeći: Višak prihoda poslovanja - preneseni = 522.758,53; Manjak prihoda od nefinancijske imovine - preneseni= 1.497.923,47; Višak primitaka od financijske imovine - preneseni = 42.857,20</w:t>
      </w:r>
    </w:p>
    <w:p w:rsidR="00171ED8" w:rsidRDefault="008C7F6B">
      <w:r>
        <w:t> 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</w:t>
            </w:r>
            <w:r>
              <w:rPr>
                <w:b/>
                <w:sz w:val="18"/>
              </w:rPr>
              <w:t>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3.055,69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u odnosu na isto razdoblje 2024. godine, </w:t>
      </w:r>
      <w:proofErr w:type="gramStart"/>
      <w:r>
        <w:t>a</w:t>
      </w:r>
      <w:proofErr w:type="gramEnd"/>
      <w:r>
        <w:t xml:space="preserve"> odnosi se na pretplatu stručne literature za 2026. godinu, i premije osiguranja za 2026. godinu.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171ED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u tijelima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2024. godine zbog primljenih novih djelatnika u stalni radni odnos i privremeno kao zamjena.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korištenje javnih površina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11.449,46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18.235,84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159,3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u odnosu na isto razdoblje 2024. godine zbog većeg broja obveznika i veće površine koja se uzima u obračun navedenog </w:t>
      </w:r>
      <w:proofErr w:type="gramStart"/>
      <w:r>
        <w:t>poreza ,</w:t>
      </w:r>
      <w:proofErr w:type="gramEnd"/>
      <w:r>
        <w:t xml:space="preserve"> te je sukladno tome i bolja naplaćenost.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15.944.679,43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17.841.769,03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se odnosi se na prijenos završenih investicija iz imovine u pripremi.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6.312.399,66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6.502.132,25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zbog završenih investicija - dva dječja igrališta koja su prenesena iz pripreme u imovinu.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858.219,47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1.070.447,45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se odnosi se na nabavu računala i računalne opreme, uredskog namještaja, te ostale uredske opreme za dječji vrtić Kutina.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1.280.393,35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1.525.507,26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se odnosi se na nabavu uređaja, strojeva i opreme za objekte Grada.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153.892,60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186.915,98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se odnosi se na aplikaciju Moj Grad, i ostale vezane za rad Gradske uprave.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62.973,13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94.101,45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se odnosi se na nabavu sitnog inventara za mjesne domove i rad Gradske uprave.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5.335.027,36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11.767.960,95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220,6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se odnosi se na sljedeće radove: okretište za autobuse i parkiralište - Romsko naselje, Poduzetnički inkubator, društveni dom Repušnica, izgradnja dječjeg vrtića Kutina i Kut.Slatina, CDŠ za OŠ </w:t>
      </w:r>
      <w:proofErr w:type="gramStart"/>
      <w:r>
        <w:t>B.Jaruga</w:t>
      </w:r>
      <w:proofErr w:type="gramEnd"/>
      <w:r>
        <w:t xml:space="preserve"> i OŠ V.Vidrića, EO Ilova, Jamarice, Crkvena</w:t>
      </w:r>
      <w:r>
        <w:t xml:space="preserve"> i Augusta Šenoe, izgradnja cesta i nogostupa, sanacija klizišta, uređenje sport.terena, rekonstrukcija plinske mreže, ILZ, rasvjeta na nogomet.igralištu.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302.177,50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591.566,25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195,8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se odnosi se na izradu projektne dokumentacije za imovinu u pripremi, izdavanje energetskih certifikata.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29.440,54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86.811,05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294,9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Ostala potraživanja obuhvaćaju potraživanja za bolovanje, potraživanja za više plaćene račune od strane Grada, potraživanja proračuna od proračunskog korisnika za povrat u nadležni proračun (više plaćeni računi), potraživanja proračuna od proračunskog kori</w:t>
      </w:r>
      <w:r>
        <w:t>snika za povrat u nadležni proračun vezano za bolovanje 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poreze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76.364,47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160.682,55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je nastalo zbog uvođenja poreza na nekretnine.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445.382,85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proofErr w:type="gramStart"/>
      <w:r>
        <w:t>Potraživanje  obuhvaća</w:t>
      </w:r>
      <w:proofErr w:type="gramEnd"/>
      <w:r>
        <w:t xml:space="preserve"> kapitalnu pomoć za dječje igralište, kapitalnu pomoć prema ugovoru o financiranju projekta Adaptacija prostora kata zgrade Poduzetnički inkubator s uređenjem okoliša, te pomoć vezano za plaćanje računa za projekt CDŠ - za OŠ Banova J</w:t>
      </w:r>
      <w:r>
        <w:t>aruga i V.Vidrića (račune plaća MZO)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izravnanja za decentralizirane funkcije 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Potraživanje prema korigiranom obračunu za decentralizirane funkcije za OŠ.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148.711,86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 Podnesen je ZNS 2 za projekt EO </w:t>
      </w:r>
      <w:proofErr w:type="gramStart"/>
      <w:r>
        <w:t>A.Šenoe</w:t>
      </w:r>
      <w:proofErr w:type="gramEnd"/>
      <w:r>
        <w:t xml:space="preserve"> i ZNS 1 za Područni vrtić Repušnica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288.930,81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132.806,25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46,0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Smanjenje zbog naplaćenih potraživanja za zakupe i najmove, te obračunate kamate po istom.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Potraživanje od prodaje neproizvedene </w:t>
            </w:r>
            <w:r>
              <w:rPr>
                <w:sz w:val="18"/>
              </w:rPr>
              <w:t>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7.278,55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12,3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Smanjenje zbog naplaćenih potraživanja za zemljište.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3.055,69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Rashodi budućeg razdoblja odnose se na pretplate za 2026.godinu za stručnu literaturu i dio premije osiguranja koja se odnosi za 2026. godinu.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161.367,68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188.319,59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Obveze za zaposlene odnose se na plaću za 12/25, a povećanje u odnosu na isto razdoblje 2024. godine nastalo je zbog povećanja plaće.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378.000,68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572.846,12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151,5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obveza na kraju 2025.g. se najvećim dijelom odnose na rashode za materijal i energiju, tekuće i investicijsko održavanje, komunalne usluge te zakupnine i najamnine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kamate na primljene kredite i zajmove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6.974,83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3.952,14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56,7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Smanjenje obveze za kamate po kreditima od kreditnih i ostalih financijskih institucija izvan javnog sektora zbog smanjenja glavnice po istima.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subvencije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7.826,52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245,2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Otvoreni su računi subvencionirane kamate koji će biti podmireni početkom 2026. godine.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Nema usporednog podatka, </w:t>
      </w:r>
      <w:proofErr w:type="gramStart"/>
      <w:r>
        <w:t>a</w:t>
      </w:r>
      <w:proofErr w:type="gramEnd"/>
      <w:r>
        <w:t xml:space="preserve"> odnosi se na pomoć Općoj bolnici dr. Ivo Pedišić vezano za povećanje zdravstvenog standarda, te Sporazum o sufinanciranju poslova obnove zemljišne knjige KT Zapad s Ministarstvom pravosuđa, uprave i digitalne transformacije.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25.626,79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38.143,89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148,8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 Otvorene obveze obuhvaćaju neisplaćene stipendije, pomoć umirovljenicima i te sufinanciranje troškova samačkih domaćinstava.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164.236,42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258.181,57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157,2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Ostale tekuće obveze obuhvaćaju obvezu za PDV, obvezu za povrat prema korigiranom obračunu za vatrogastvo, te ostale obveze vezane za više uplaćeno u proračun.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877.790,98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5.969.794,93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680,1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Ove obveze obuhvaćaju nove kredite u 2025. godini preko HBOR-a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1.088.562,98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2.311.875,34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Obveze obuhvaćaju uplatu po Predugovoru o kupnji zemljišta (Ugovor će biti sklopljen u 2026. godini), te plaćanje predujmova za utvrđivanje vrijednosti nekretnine prilikom kupnje iste.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-28.524,20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-2.690.846,52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9433,6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Višak prihoda poslovanja = 3.090.814,20</w:t>
      </w:r>
    </w:p>
    <w:p w:rsidR="00171ED8" w:rsidRDefault="008C7F6B">
      <w:r>
        <w:t>Višak prihoda poslovanja - preneseni = 522.758,53</w:t>
      </w:r>
    </w:p>
    <w:p w:rsidR="00171ED8" w:rsidRDefault="008C7F6B">
      <w:r>
        <w:t>Manjak prihoda od nefinancijske imovine = 9.193.094,01</w:t>
      </w:r>
    </w:p>
    <w:p w:rsidR="00171ED8" w:rsidRDefault="008C7F6B">
      <w:r>
        <w:t>Manjak prihoda od nefinancijske imovine - preneseni = 1.497.923,47</w:t>
      </w:r>
    </w:p>
    <w:p w:rsidR="00171ED8" w:rsidRDefault="008C7F6B">
      <w:r>
        <w:t>Višak primitaka od financijske imovine = 4.343.741,03</w:t>
      </w:r>
    </w:p>
    <w:p w:rsidR="00171ED8" w:rsidRDefault="008C7F6B">
      <w:r>
        <w:lastRenderedPageBreak/>
        <w:t>Višak primitaka od financijske imovine - preneseni = 42.857,20</w:t>
      </w:r>
    </w:p>
    <w:p w:rsidR="00171ED8" w:rsidRDefault="008C7F6B">
      <w:r>
        <w:t>Korekcija rezulta</w:t>
      </w:r>
      <w:r>
        <w:t>ta za prihode poslovanja utrošene za nefinancijsku imovinu = 2.771.547,47</w:t>
      </w:r>
    </w:p>
    <w:p w:rsidR="00171ED8" w:rsidRDefault="008C7F6B">
      <w:r>
        <w:t>Korekcija rezultata za kapitalne rashode = 65.977,60</w:t>
      </w:r>
    </w:p>
    <w:p w:rsidR="00171ED8" w:rsidRDefault="008C7F6B">
      <w:r>
        <w:t>Ukupan višak prihoda poslovanja = 908.002,86</w:t>
      </w:r>
    </w:p>
    <w:p w:rsidR="00171ED8" w:rsidRDefault="008C7F6B">
      <w:r>
        <w:t>Ukupan manjak prihoda od nefinancijske imovine = 7.985.447,61</w:t>
      </w:r>
    </w:p>
    <w:p w:rsidR="00171ED8" w:rsidRDefault="008C7F6B">
      <w:r>
        <w:t>Ukupan višak primitaka</w:t>
      </w:r>
      <w:r>
        <w:t xml:space="preserve"> od financijske imovine = 4.386.598,23</w:t>
      </w:r>
    </w:p>
    <w:p w:rsidR="00171ED8" w:rsidRDefault="008C7F6B">
      <w:r>
        <w:t>Manjak prihoda i primitaka za pokriće u sljedećem razdoblju = 908.002,86 - 7.985.447,61 + 4.386.598,23 = -2.690.846,52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poreza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50.939,04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136.497,84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268,0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zbog uvođenja poreza na nekretnine.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proračunu i </w:t>
            </w:r>
            <w:r>
              <w:rPr>
                <w:sz w:val="18"/>
              </w:rPr>
              <w:t>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445.382,85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proofErr w:type="gramStart"/>
      <w:r>
        <w:t>Pomoć  obuhvaća</w:t>
      </w:r>
      <w:proofErr w:type="gramEnd"/>
      <w:r>
        <w:t xml:space="preserve"> kapitalnu pomoć za dječje igralište, kapitalnu pomoć prema ugovoru o financiranju projekta Adaptacija prostora kata zgrade Poduzetnički inkubator s uređenjem okoliša, te pomoć vezano za plaćanje računa za projekt CDŠ - za OŠ Banova Jaruga i</w:t>
      </w:r>
      <w:r>
        <w:t xml:space="preserve"> V.Vidrića (račune plaća MZO)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  Prema korigiranom obračunu za decentralizirane funkcije za OŠ, isplata u 2026. godini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148.711,86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 Podnesen je ZNS 2 za projekt EO </w:t>
      </w:r>
      <w:proofErr w:type="gramStart"/>
      <w:r>
        <w:t>A.Šenoe</w:t>
      </w:r>
      <w:proofErr w:type="gramEnd"/>
      <w:r>
        <w:t xml:space="preserve"> i ZNS 1 za Područni vrtić Repušnica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28.817.203,89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41.864.281,92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145,3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vrijednosti izvanbilančnih zapisa zbog unosa novih kategorija - Preuzete obveze po ugovorima o nabavi roba, radova i </w:t>
      </w:r>
      <w:proofErr w:type="gramStart"/>
      <w:r>
        <w:t>usluga ,te</w:t>
      </w:r>
      <w:proofErr w:type="gramEnd"/>
      <w:r>
        <w:t xml:space="preserve"> Potraživanja po ugovorima o dodijeljenim bespovratnim sredstvima iz EU fondova. Veći je i broj p</w:t>
      </w:r>
      <w:r>
        <w:t>rimljenih bjanko zadužnica, te izdanih koje su vezane za realizaciju kredita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87.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nabavljena iz operativnog najma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15.449,75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Ugovor o operativnom leasingu - </w:t>
      </w:r>
      <w:proofErr w:type="gramStart"/>
      <w:r>
        <w:t>sl.automobil</w:t>
      </w:r>
      <w:proofErr w:type="gramEnd"/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88.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Preuzete obveze po ugovorima o nabavi roba, radova i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2.316.034,23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Knjiženo je 28 ugovora koji se odnose na projektnu dokumentaciju, stručni nadzor i građevinske radove.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89.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po ugovorima o</w:t>
            </w:r>
            <w:r>
              <w:rPr>
                <w:sz w:val="18"/>
              </w:rPr>
              <w:t xml:space="preserve"> dodijeljenim bespovratnim sredstvima iz EU fondova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1.114.261,58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Potraživanja su sljedeća:</w:t>
      </w:r>
    </w:p>
    <w:p w:rsidR="00171ED8" w:rsidRDefault="008C7F6B">
      <w:r>
        <w:t xml:space="preserve">EO </w:t>
      </w:r>
      <w:proofErr w:type="gramStart"/>
      <w:r>
        <w:t>A.Šenoe</w:t>
      </w:r>
      <w:proofErr w:type="gramEnd"/>
      <w:r>
        <w:t xml:space="preserve"> = 182.206,36</w:t>
      </w:r>
    </w:p>
    <w:p w:rsidR="00171ED8" w:rsidRDefault="008C7F6B">
      <w:r>
        <w:t>EO Jamarice = 161.464,36</w:t>
      </w:r>
    </w:p>
    <w:p w:rsidR="00171ED8" w:rsidRDefault="008C7F6B">
      <w:r>
        <w:t>EO Crkvena = 214.055,02</w:t>
      </w:r>
    </w:p>
    <w:p w:rsidR="00171ED8" w:rsidRDefault="008C7F6B">
      <w:r>
        <w:t>EO Ilova = 183.471,72</w:t>
      </w:r>
    </w:p>
    <w:p w:rsidR="00171ED8" w:rsidRDefault="008C7F6B">
      <w:r>
        <w:t>Područni vrtić Repušnica = 373.064,12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90.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Opće javne usluge (šifre </w:t>
            </w:r>
            <w:r>
              <w:rPr>
                <w:sz w:val="18"/>
              </w:rPr>
              <w:t>011+012+013+014 do 018)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2.774.326,08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3.555.753,35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 </w:t>
      </w:r>
    </w:p>
    <w:p w:rsidR="00171ED8" w:rsidRDefault="008C7F6B">
      <w:r>
        <w:t xml:space="preserve">Povećanje u odnosu na isto razdoblje 2024. godine (troškovi koji se odnose na rashode za </w:t>
      </w:r>
      <w:proofErr w:type="gramStart"/>
      <w:r>
        <w:t xml:space="preserve">zaposlene,   </w:t>
      </w:r>
      <w:proofErr w:type="gramEnd"/>
      <w:r>
        <w:t>materijalne rashode, naknade za rad predstavničkih i izvršnih tijela, pomoći, informiranje, financijske rashode, ostale usluge) nastalo zbog povećanja pla</w:t>
      </w:r>
      <w:r>
        <w:t>ća i provedenih izbora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91.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Obrana (šifre 021 do 025)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12.658,06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16.447,23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2024. godine - troškovi koji se odnose na rashode za civilnu zaštitu i to nabava opreme, intelektualne usluge vezane za područje civilne zaštite, te donacija HGSS-u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92.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Javni red i sigurnost (šifre 031 do 036)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121.196,00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190.641,50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157,3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u odnosu na isto razdoblje 2024. godine, </w:t>
      </w:r>
      <w:proofErr w:type="gramStart"/>
      <w:r>
        <w:t>a</w:t>
      </w:r>
      <w:proofErr w:type="gramEnd"/>
      <w:r>
        <w:t xml:space="preserve"> obuhvaća troškove vezane za poticanje dobrovoljnog vatrogastva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93.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Ekonomski poslovi (šifre 041+042+043+044+045+046+047+048+049)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1.376.455,45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571.263,78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41,5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Smanjenje troškova u odnosu na isto razdoblje 2024. godine koje obuhvaća troškove vezane uz rad Turističke zajednice, troškove vezane za razvoj poljoprivrede, veterinarske usluge, hoigijeničarska služba, turizam, troškovi su smanjeni zbog isplate sredstava</w:t>
      </w:r>
      <w:r>
        <w:t xml:space="preserve"> za uklanjanje posljedica prirodne nepogode u 2024. godini.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94.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Zaštita okoliša (šifre 051 </w:t>
            </w:r>
            <w:r>
              <w:rPr>
                <w:sz w:val="18"/>
              </w:rPr>
              <w:t>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63.182,36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24.165,12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38,2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Smanjenje u odnosu na isto razdoblje 2024. godine, </w:t>
      </w:r>
      <w:proofErr w:type="gramStart"/>
      <w:r>
        <w:t>a</w:t>
      </w:r>
      <w:proofErr w:type="gramEnd"/>
      <w:r>
        <w:t xml:space="preserve"> obuhvaća troškove vezane za gospodarenje otpadom, te ostale usluge zaštite okoliša. Smanjenje je na troškovima vezanim uz plaćanje poticajne naknade prema FZO i smanjenje troškova na sanaciji divljih dep</w:t>
      </w:r>
      <w:r>
        <w:t>onija, te odvozu i zbrinjavanju neopasnog otpada.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95.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unapređenja stanovanja i </w:t>
            </w:r>
            <w:r>
              <w:rPr>
                <w:sz w:val="18"/>
              </w:rPr>
              <w:t>zajednice (šifre 061 do 066)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8.115.978,65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13.150.803,54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162,0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2024. godine, a odnosi se na: troškovi vezani za informiranje, za programe mladih, nacionalnih manjina, za osobe s invaliditetom, za javne priredbe, kulturnu suradnju, za rad udruga, političke stranke, rad Crvenog križa</w:t>
      </w:r>
      <w:r>
        <w:t xml:space="preserve">, izgradnja i </w:t>
      </w:r>
      <w:r>
        <w:lastRenderedPageBreak/>
        <w:t>rekonstrukcija nerazvrstanih cesta, održavanje cesta, izgradnja nogostupa, sanacije klizišta, geodetsko-katastarske usluge, tekuće i investicijsko održavanje, licence, programi RA Mrav, potpore obrtnicima, malim i srednjim poduzetnicima, reko</w:t>
      </w:r>
      <w:r>
        <w:t>nstrukcija i izgradnja objekata u vlasništvu Grada, nabava opreme za objekte Grada,  zimska služba, javna rasvjeta, donacije za rad medija. Povećanje je zbog izgradnje dječjih vrtića, dječjih igrališta, rekonstrukcije i izgradnje cesta i nogostupa.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96.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Zdravstvo (šifre 071+072+073+074+075+076)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242.611,21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136.847,20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Smanjenje u odnosu na isto razdoblje 2024. godine, a troškovi su vezani za povećanje zdravstvenog standarda i deratizaciju. U 2024. godini dana je pomoć za kupnju vozila Zavodu za hitnu medicinu SMŽ-a, te su zbog toga manji troškovi u 2025. godini.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97.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Rekreacija, kultura i religija (šifre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812.249,16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1.212.307,92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149,3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Povećanje u odnosu na isto razdoblje 2024. godine, </w:t>
      </w:r>
      <w:proofErr w:type="gramStart"/>
      <w:r>
        <w:t>a</w:t>
      </w:r>
      <w:proofErr w:type="gramEnd"/>
      <w:r>
        <w:t xml:space="preserve"> obuhvaća troškove vezane za rad športskih udruga i vjerskih zajednica. U 2025. godini povećani su troškovi za sport i dana je kapitalna donacija za Pastoralni centar.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98.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1.073.121,96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347.335,41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Smanjenje u odnosu na isto razdoblje 2024.godine </w:t>
      </w:r>
      <w:proofErr w:type="gramStart"/>
      <w:r>
        <w:t>-  troškovi</w:t>
      </w:r>
      <w:proofErr w:type="gramEnd"/>
      <w:r>
        <w:t xml:space="preserve"> vezani za prijevoz učenika romske nacionalnosti, sufinanciranje terenske nastave,  udžbenici i školski pribor, projekt CDŠ za OŠ B.Jaruga i OŠ Vladimira Vidrića. Veće smanjenje troškova u 2025. g</w:t>
      </w:r>
      <w:r>
        <w:t>odini je zbog završenog projekta Abeceda budućnosti u 2024. godini.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99.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Socijalna zaštita </w:t>
            </w:r>
            <w:r>
              <w:rPr>
                <w:sz w:val="18"/>
              </w:rPr>
              <w:t>(šifre 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411.888,93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928.474,64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225,4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u odnosu na isto razdoblje 2024. godinu- troškovi vezani za poticanje demografskog rasta, pomoć za podmirenje troškova stanovanja i jednokratne pomoći, subvencije za prijevoz učenika, stipendiranje studenata, pogrebni troškovi, pomoć obiteljima i</w:t>
      </w:r>
      <w:r>
        <w:t xml:space="preserve"> kućanstvima, pomoć umirovljenicima, grobna pristojba za poginule hrvatske branitelje, te potpora mladima za kupnju prve nekretnine. U 2025. godini povećanje je zbog navedene potpore mladima.</w:t>
      </w:r>
    </w:p>
    <w:p w:rsidR="00171ED8" w:rsidRDefault="008C7F6B">
      <w:r>
        <w:t> </w:t>
      </w:r>
    </w:p>
    <w:p w:rsidR="00171ED8" w:rsidRDefault="008C7F6B">
      <w:r>
        <w:t> 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</w:t>
      </w:r>
      <w:r>
        <w:rPr>
          <w:sz w:val="28"/>
        </w:rPr>
        <w:t>00.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171ED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2.379.905,71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Smanjenje u iznosu od 2.379.905,71 eura odnosi se na ispravak vrijednosti proizvedene dugotrajne imovine za 2025. godinu.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101.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171ED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45.144,47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Neproizvedena dugotrajna imovina povećana je za 45.144,47 eura. Navedeni iznos razlika je povećanja procijenjenog i darovanog zemljišta u iznosu od 153.092,19 eura i smanjenja darovanog i djelomično isknjižene više evidentirane vrijednosti zemljišta u izno</w:t>
      </w:r>
      <w:r>
        <w:t>su od 107.947,72 eura.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lastRenderedPageBreak/>
        <w:t>Bilješka 102.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171ED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9.463,92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Smanjenje u iznosu od 9.463,92 eura odnosi se na isknjiženje imovine nakon uništenja i to:</w:t>
      </w:r>
    </w:p>
    <w:p w:rsidR="00171ED8" w:rsidRDefault="008C7F6B">
      <w:pPr>
        <w:pStyle w:val="Odlomakpopisa"/>
        <w:numPr>
          <w:ilvl w:val="0"/>
          <w:numId w:val="1"/>
        </w:numPr>
      </w:pPr>
      <w:r>
        <w:t>uredski namještaj u iznosu od 1.585,67 eura, ostala uredska oprema u iznosu od 238,60 eura, ostala komunikacijska oprema u iznosu od 219,01 eura, ostala oprema za gr</w:t>
      </w:r>
      <w:r>
        <w:t>ijanje, ventilaciju i hlađenje u iznosu od 1.578,61 eura, oprema za civilnu zaštitu u iznosu od 531,25 eura, ostali instrumenti i uređaji u iznosu od 731,28 eura, sportska oprema u iznosu od 29,48 eura, strojevi u iznosu od 1.592,54 eura, oprema u iznosu o</w:t>
      </w:r>
      <w:r>
        <w:t>d 2.957,48 eura.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103.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171ED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Smanjenje u iznosu od 2.521,73 eura odnosi se na obustavljenu investiciju koja se vodila kao imovina u pripremi i na inventuri je proknjiženo smanjenje vrijednosti </w:t>
      </w:r>
      <w:proofErr w:type="gramStart"/>
      <w:r>
        <w:t>dugotrajne  nefinancijske</w:t>
      </w:r>
      <w:proofErr w:type="gramEnd"/>
      <w:r>
        <w:t xml:space="preserve"> imovine u pripremi.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104.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171ED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Povećanje potraživanja za prihode poslovanja u iznosu od 333,06 eura razlika je između otpisa potraživanja zbog zastara u iznosu od 4.396,67 eura i zatvaranja starih pretplata u iznosu od 4.729,73 eura. Smanjenje se odnosi na komunalni doprinos u iznosu od</w:t>
      </w:r>
      <w:r>
        <w:t xml:space="preserve"> 3.143,55, komunalnu naknadu u iznosu od 63,90, porez na javne površine u iznosu od 1.160,40 i spomeničku rentu u iznosu od 28,82 eura. Povećanje se odnosi na pretplatu za zakup građevinskog zemljišta u poljoprivredne svrhe u iznosu od 0,58 eura, na pretpl</w:t>
      </w:r>
      <w:r>
        <w:t>atu naknade za uređenje voda u iznosu od 114,02 eura i komunalnu naknadu u iznosu od 4.615,13 eura.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105.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171ED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138.139,86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>Stanje dospjelih obveza na kraju izvještajnog razdoblja iznosi 138.139,86 eura i isti su podmireni u 2026. godini. Pet računa u ukupnom iznosu od 101.094,72 eura vezani su za projekt CDŠ za dvije osnovne škole gdje se rashodi knjiže na Gradu, a račune plać</w:t>
      </w:r>
      <w:r>
        <w:t xml:space="preserve">a Ministarstvo znanosti, obrazovanja i mladih, te nakon plaćanja obveza Ministarstvo obavještava Grad o podmirenju istih. To su računi vezani uz točku 9. i 10. i podmireni su tijekom 1. i 2. mjeseca 2026. godine. Ostali računi su također podmireni tijekom </w:t>
      </w:r>
      <w:r>
        <w:t>navedenog razdoblja u 2026. godini.</w:t>
      </w:r>
    </w:p>
    <w:p w:rsidR="00171ED8" w:rsidRDefault="008C7F6B">
      <w:r>
        <w:t> </w:t>
      </w:r>
    </w:p>
    <w:p w:rsidR="00171ED8" w:rsidRDefault="008C7F6B">
      <w:pPr>
        <w:pStyle w:val="Odlomakpopisa"/>
        <w:numPr>
          <w:ilvl w:val="0"/>
          <w:numId w:val="2"/>
        </w:numPr>
      </w:pPr>
      <w:r>
        <w:t>Usluge tekućeg i investicijskog održavanja: 317,70 (dospijeće 08.11.2025.); 112,50 (dospijeće 24.12.2025.); </w:t>
      </w:r>
    </w:p>
    <w:p w:rsidR="00171ED8" w:rsidRDefault="008C7F6B">
      <w:pPr>
        <w:pStyle w:val="Odlomakpopisa"/>
        <w:numPr>
          <w:ilvl w:val="0"/>
          <w:numId w:val="2"/>
        </w:numPr>
      </w:pPr>
      <w:r>
        <w:t>Usluge promidžbe i informiranja: 156,19 (dospijeće 26.12.2025.)  </w:t>
      </w:r>
    </w:p>
    <w:p w:rsidR="00171ED8" w:rsidRDefault="008C7F6B">
      <w:pPr>
        <w:pStyle w:val="Odlomakpopisa"/>
        <w:numPr>
          <w:ilvl w:val="0"/>
          <w:numId w:val="2"/>
        </w:numPr>
      </w:pPr>
      <w:r>
        <w:t xml:space="preserve">Zakupnine i najamnine: 1.000,00 (dospijeće </w:t>
      </w:r>
      <w:r>
        <w:t>15.11.2025.)</w:t>
      </w:r>
    </w:p>
    <w:p w:rsidR="00171ED8" w:rsidRDefault="008C7F6B">
      <w:pPr>
        <w:pStyle w:val="Odlomakpopisa"/>
        <w:numPr>
          <w:ilvl w:val="0"/>
          <w:numId w:val="2"/>
        </w:numPr>
      </w:pPr>
      <w:r>
        <w:t>Intelektualne i osobne usluge: 600,00 (dospijeće 31.12.2025.)</w:t>
      </w:r>
    </w:p>
    <w:p w:rsidR="00171ED8" w:rsidRDefault="008C7F6B">
      <w:pPr>
        <w:pStyle w:val="Odlomakpopisa"/>
        <w:numPr>
          <w:ilvl w:val="0"/>
          <w:numId w:val="2"/>
        </w:numPr>
      </w:pPr>
      <w:r>
        <w:t>Reprezentacija: 262,50 (dospijeće 29.12.2025.); 43,75 (dospijeće 30.12.2025.); 1.990,00 (dospijeće 01.12.2025.); 1.712,50 (dospijeće 01.12.2025.)</w:t>
      </w:r>
    </w:p>
    <w:p w:rsidR="00171ED8" w:rsidRDefault="008C7F6B">
      <w:pPr>
        <w:pStyle w:val="Odlomakpopisa"/>
        <w:numPr>
          <w:ilvl w:val="0"/>
          <w:numId w:val="2"/>
        </w:numPr>
      </w:pPr>
      <w:r>
        <w:t>Ostali nespomenuti rashodi: 50,00 (</w:t>
      </w:r>
      <w:r>
        <w:t>dospijeće 28.08.2025.)</w:t>
      </w:r>
    </w:p>
    <w:p w:rsidR="00171ED8" w:rsidRDefault="008C7F6B">
      <w:pPr>
        <w:pStyle w:val="Odlomakpopisa"/>
        <w:numPr>
          <w:ilvl w:val="0"/>
          <w:numId w:val="2"/>
        </w:numPr>
      </w:pPr>
      <w:r>
        <w:t>Obveze za naknade građanima i kućanstvima: 30.000,00 (dospijeće 31.12.2025.)</w:t>
      </w:r>
    </w:p>
    <w:p w:rsidR="00171ED8" w:rsidRDefault="008C7F6B">
      <w:pPr>
        <w:pStyle w:val="Odlomakpopisa"/>
        <w:numPr>
          <w:ilvl w:val="0"/>
          <w:numId w:val="2"/>
        </w:numPr>
      </w:pPr>
      <w:r>
        <w:t>Građevinski objekti: 800,00 (dospijeće 27.11.2025.)</w:t>
      </w:r>
    </w:p>
    <w:p w:rsidR="00171ED8" w:rsidRDefault="008C7F6B">
      <w:pPr>
        <w:pStyle w:val="Odlomakpopisa"/>
        <w:numPr>
          <w:ilvl w:val="0"/>
          <w:numId w:val="2"/>
        </w:numPr>
      </w:pPr>
      <w:r>
        <w:t>Prijevozna sredstva: 0,60 (dospijeće 20.11.2024.)</w:t>
      </w:r>
    </w:p>
    <w:p w:rsidR="00171ED8" w:rsidRDefault="008C7F6B">
      <w:pPr>
        <w:pStyle w:val="Odlomakpopisa"/>
        <w:numPr>
          <w:ilvl w:val="0"/>
          <w:numId w:val="2"/>
        </w:numPr>
      </w:pPr>
      <w:r>
        <w:t>Dodatna ulaganja na građevinskim objektima: 6.500,00 (dospijeće 29.08.2025.); 5.520,00 (dospijeće 13.10.2025.); 19.237,50 (dospijeće 09.10.2025.); 16.080,00 (dospijeće 14.11.2025.); 53.756,62 (dospijeće 14.11.2025.)          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106.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71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1ED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171ED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14.269.883,90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1ED8" w:rsidRDefault="008C7F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1ED8" w:rsidRDefault="00171ED8">
      <w:pPr>
        <w:spacing w:after="0"/>
      </w:pPr>
    </w:p>
    <w:p w:rsidR="00171ED8" w:rsidRDefault="008C7F6B">
      <w:r>
        <w:t xml:space="preserve">Stanje nedospjelih obveza na kraju izvještajnog razdoblja </w:t>
      </w:r>
      <w:proofErr w:type="gramStart"/>
      <w:r>
        <w:t>iznose  14.269.883</w:t>
      </w:r>
      <w:proofErr w:type="gramEnd"/>
      <w:r>
        <w:t>,90 eura. Odnose se na sljedeće: Obveze za zaposlene (podskupina 231) u iznosu od 187.237,59; Obveze za materijalne rashode(podskupina 232) u iznosu od 566.600,98; Obveze za financ</w:t>
      </w:r>
      <w:r>
        <w:t>ijske rashode (podskupina 234) u iznosu od 7.559,89; Obveze za subvencije (poskupina 235) u iznosu od 7.826,52; Obveze za naknade građanima i kućanstvima (podskupina 237) u iznosu od 8.143,89; Obveze za donacije, kazne, naknade šteta i kapitalne pomoći (po</w:t>
      </w:r>
      <w:r>
        <w:t>dskupina 238) u iznosu od 67.625,69; Ostale tekuće obveze (podskupina 239) u iznosu od 258.181,57; Obveze za nabavu proizvedene dugotrajne imovine (podskupina 242) u iznosu od 325.755,51; Obveze za dodatna ulaganja na nefinancijskoj imovini (podskupina 245</w:t>
      </w:r>
      <w:r>
        <w:t xml:space="preserve">) u iznosu od 263.139,18; </w:t>
      </w:r>
      <w:r>
        <w:lastRenderedPageBreak/>
        <w:t>Obveze za kredite i zajmove od kreditnih i ostalih financijskih institucija u javnom sektoru (podskupina 262) u iznosu od 5.969.794,93; Obveze za kredite i zajmove od kreditnih i ostalih financijskih institucija izvan javnog sekto</w:t>
      </w:r>
      <w:r>
        <w:t>ra (podskupina 264) u iznosu od 4.290.123,43; Obveze za predujmove (podskupina 271) u iznosu od 26.643,21; Obveze za depozite i jamčevne pologe (podskupina 272) u iznosu od 126.836,41; Obveze za naplaćene tuđe prihode (podskupina 273) u iznosu od 2.906,50.</w:t>
      </w:r>
      <w:r>
        <w:t xml:space="preserve"> U međusobnim obvezama je sljedeće: Obveze proračuna za naplaćena sredstva proračunskg korisnika (podskupina 274) u iznosu od 2.155.317,80; Obveze za povrat u proračun sredstava koja refundira HZZO(podskupina 231)  u iznosu od 1.082,00; 55% prihoda od prod</w:t>
      </w:r>
      <w:r>
        <w:t>aje stanova na kojima postoji stanarsko pravo (podskupina 273 u iznosu od 171,42 i Obveze za tekuće pomoći proračunskim korisnicima drugih proračuna (podskupina 236) u iznosu od 4.937,38.</w:t>
      </w:r>
    </w:p>
    <w:p w:rsidR="00171ED8" w:rsidRDefault="008C7F6B">
      <w:r>
        <w:t> </w:t>
      </w:r>
    </w:p>
    <w:p w:rsidR="00171ED8" w:rsidRDefault="00171ED8"/>
    <w:p w:rsidR="00171ED8" w:rsidRDefault="008C7F6B">
      <w:pPr>
        <w:keepNext/>
        <w:spacing w:line="240" w:lineRule="auto"/>
        <w:jc w:val="center"/>
      </w:pPr>
      <w:r>
        <w:rPr>
          <w:sz w:val="28"/>
        </w:rPr>
        <w:t>Bilješka 107.</w:t>
      </w:r>
    </w:p>
    <w:p w:rsidR="00171ED8" w:rsidRDefault="008C7F6B">
      <w:pPr>
        <w:spacing w:line="240" w:lineRule="auto"/>
        <w:jc w:val="both"/>
      </w:pPr>
      <w:r>
        <w:rPr>
          <w:b/>
        </w:rPr>
        <w:t>EU izvještaj</w:t>
      </w:r>
    </w:p>
    <w:p w:rsidR="00171ED8" w:rsidRDefault="008C7F6B">
      <w:r>
        <w:t>Projekt Područni vrtić Repušnica financira se iz EU sredstava, Ugovor o dodjeli bespovratnih sredstava za projekte koji se financiraju iz Programa konkurentnost i kohecija PK.6.1.01.0075. Iz EU sredstava financira se 380.000,00 eura. ZNS 1 podnesen u 2025.</w:t>
      </w:r>
      <w:r>
        <w:t xml:space="preserve"> godini, odobrena bespovratna sredstva u iznosu od 6.935,88 eura. U 2026. godini sredstva su uplaćena.</w:t>
      </w:r>
    </w:p>
    <w:p w:rsidR="00171ED8" w:rsidRDefault="008C7F6B">
      <w:r>
        <w:t>Projekt Područni vrtić Kutinska Slatina financiran je iz Mehanizma za oporavak i otpornost, Ugovor o dodjeli bespovratnih sredstava za projekte koji se f</w:t>
      </w:r>
      <w:r>
        <w:t xml:space="preserve">inanciraju iz mehanizma za oporavak i otpornost NPOO.1R1.-11.01.0049. Iz EU sredstava financiralo se 363.129,60 eura. U 2024. godini primljen je </w:t>
      </w:r>
      <w:proofErr w:type="gramStart"/>
      <w:r>
        <w:t>predujam  koji</w:t>
      </w:r>
      <w:proofErr w:type="gramEnd"/>
      <w:r>
        <w:t xml:space="preserve"> je bio knjižen kao prihod i u 2025.g. prema uputi knjižen je na predujam 2025.g . Podnesena su 5</w:t>
      </w:r>
      <w:r>
        <w:t xml:space="preserve"> ZNS-a i odobrena, troškovi su podmireni i projekt je završio.</w:t>
      </w:r>
    </w:p>
    <w:p w:rsidR="00171ED8" w:rsidRDefault="008C7F6B">
      <w:r>
        <w:t>Projekt Područni vrtić Kutina financiran je iz Mehanizma za oporavak i otpornost, Ugovor o dodjeli bespovratnih sredstava za projekte koji se financiraju iz mehanizma za oporavak i otpornost NP</w:t>
      </w:r>
      <w:r>
        <w:t>OO.C3.</w:t>
      </w:r>
      <w:proofErr w:type="gramStart"/>
      <w:r>
        <w:t>1.R</w:t>
      </w:r>
      <w:proofErr w:type="gramEnd"/>
      <w:r>
        <w:t>1-11.02.0047. Iz EU sredstava financiralo se 1.452.520,00 eura. U 2024. godini primljen je predujam koji je bio knjižen kao prihod i u 2025.g. prema uputi knjižen je na predujam 2025.g. Podneseno je 5 ZNS-ova koja su i odobrena, troškovi su podmir</w:t>
      </w:r>
      <w:r>
        <w:t>eni i projekt je završio.</w:t>
      </w:r>
    </w:p>
    <w:p w:rsidR="00171ED8" w:rsidRDefault="008C7F6B">
      <w:r>
        <w:t>Projekt Urbana mreža zelene infrastrukture grada Kutine, financiran je iz Mehanizma za oporavak i otpornost, Ugovor o dodjeli bespovratnih sredstava za projekte koji se financiraju iz Nacionalnog plana za oporavak i otpornost 2021</w:t>
      </w:r>
      <w:r>
        <w:t>.-2026. C2.</w:t>
      </w:r>
      <w:proofErr w:type="gramStart"/>
      <w:r>
        <w:t>1.R</w:t>
      </w:r>
      <w:proofErr w:type="gramEnd"/>
      <w:r>
        <w:t>2.11.01.255. Iz EU sredstava financiralo se 114.561,00 eura. U 2024. godini bio je trošak, a 24.02.2025. godine primljena su sredstva za isti.</w:t>
      </w:r>
    </w:p>
    <w:p w:rsidR="00171ED8" w:rsidRDefault="008C7F6B">
      <w:r>
        <w:t xml:space="preserve">Projekt EO Augusta </w:t>
      </w:r>
      <w:proofErr w:type="gramStart"/>
      <w:r>
        <w:t>Šenoe ,</w:t>
      </w:r>
      <w:proofErr w:type="gramEnd"/>
      <w:r>
        <w:t xml:space="preserve"> financiran je iz Mehanizma za oporavak i otpornost, Ugovor NPOO.C6.1.R1-</w:t>
      </w:r>
      <w:r>
        <w:t>I1.04.0101, podnesen i odobren ZNS 1 u 2025.g. na iznos od 5.100,00 eura, troškovi su knjiženi u 2024.g. te je podnesen u 2025.g. ZNS 2 na iznos 141.775,98 eura, troškovi nisu knjiženi. ZNS 2 u 2025.g. još nije odobren.</w:t>
      </w:r>
    </w:p>
    <w:p w:rsidR="00171ED8" w:rsidRDefault="008C7F6B">
      <w:r>
        <w:lastRenderedPageBreak/>
        <w:t>Projekt EO Crkvena, financiran je iz Mehanizma za oporavak i otpornost, Ugovor NPOO.C6.</w:t>
      </w:r>
      <w:proofErr w:type="gramStart"/>
      <w:r>
        <w:t>1.R</w:t>
      </w:r>
      <w:proofErr w:type="gramEnd"/>
      <w:r>
        <w:t>1-I1.04.0103, ZNS 1 podnesen, odobren i isplaćen u 2024. godini u iznosu od 5.724,30 eura, troškovi iz 2024. su podmireni. Tijekom 2025. godine podnesena su tri ZNS-a</w:t>
      </w:r>
      <w:r>
        <w:t xml:space="preserve"> s ukupno potraživanim troškovima 0,00. ZNS 5 podnesen je 12.01.2026. godine. Troškovi za EO Crkvena knjiženi su u 2025. godini u iznosu od 13.834,92 eura.</w:t>
      </w:r>
    </w:p>
    <w:p w:rsidR="00171ED8" w:rsidRDefault="008C7F6B">
      <w:r>
        <w:t>Projekt EO Jamarice, financiran je iz Mehanizma za oporavak i otpornost, Ugovor NPOO.C6.</w:t>
      </w:r>
      <w:proofErr w:type="gramStart"/>
      <w:r>
        <w:t>1.R</w:t>
      </w:r>
      <w:proofErr w:type="gramEnd"/>
      <w:r>
        <w:t>1-I1.04.0</w:t>
      </w:r>
      <w:r>
        <w:t>102, ZNS 1 podnesen je u 2024. godini i odobren 17.02.2025. u iznosu 5.016,54 eura, podmireni su troškovi iz</w:t>
      </w:r>
      <w:proofErr w:type="gramStart"/>
      <w:r>
        <w:t>2024.g.</w:t>
      </w:r>
      <w:proofErr w:type="gramEnd"/>
      <w:r>
        <w:t xml:space="preserve"> Potraživani troškovi za tri ZNS-a u 2025.g.  su 0,00 i u 2026.g. je podnesen ZNS 5 na 103.314,94 eura. U 2025.g. knjiženi su troškovi u izno</w:t>
      </w:r>
      <w:r>
        <w:t>su od 4.998,66 eura.</w:t>
      </w:r>
    </w:p>
    <w:p w:rsidR="00171ED8" w:rsidRDefault="008C7F6B">
      <w:r>
        <w:t>Projekt EO Ilova, financiran je iz Mehanizma za oporavak i otpornost, Ugovor NPOO.C6.</w:t>
      </w:r>
      <w:proofErr w:type="gramStart"/>
      <w:r>
        <w:t>1.R</w:t>
      </w:r>
      <w:proofErr w:type="gramEnd"/>
      <w:r>
        <w:t>1-I1.04.0099, ZNS 1 podnesen i odobren u 2024.g., a isplaćen u 2025.g. u iznosu od 5.100,00., troškovi podmireni . U 2025.g. knjiženi troškovi u iz</w:t>
      </w:r>
      <w:r>
        <w:t>nosu od 148.824,40 eura. U 2026.g. podnesen ZNS 5.</w:t>
      </w:r>
    </w:p>
    <w:p w:rsidR="00171ED8" w:rsidRDefault="00171ED8"/>
    <w:sectPr w:rsidR="0017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564"/>
    <w:multiLevelType w:val="hybridMultilevel"/>
    <w:tmpl w:val="8CC2866A"/>
    <w:name w:val="decimal"/>
    <w:lvl w:ilvl="0" w:tplc="213658F0">
      <w:start w:val="1"/>
      <w:numFmt w:val="decimal"/>
      <w:lvlText w:val="%1."/>
      <w:lvlJc w:val="left"/>
      <w:pPr>
        <w:ind w:left="720" w:hanging="360"/>
      </w:pPr>
    </w:lvl>
    <w:lvl w:ilvl="1" w:tplc="62AE29EA">
      <w:start w:val="1"/>
      <w:numFmt w:val="decimal"/>
      <w:lvlText w:val="%2."/>
      <w:lvlJc w:val="left"/>
      <w:pPr>
        <w:ind w:left="1440" w:hanging="360"/>
      </w:pPr>
    </w:lvl>
    <w:lvl w:ilvl="2" w:tplc="67D27570">
      <w:start w:val="1"/>
      <w:numFmt w:val="decimal"/>
      <w:lvlText w:val="%3."/>
      <w:lvlJc w:val="left"/>
      <w:pPr>
        <w:ind w:left="2160" w:hanging="360"/>
      </w:pPr>
    </w:lvl>
    <w:lvl w:ilvl="3" w:tplc="D6DA10A4">
      <w:start w:val="1"/>
      <w:numFmt w:val="decimal"/>
      <w:lvlText w:val="%4."/>
      <w:lvlJc w:val="left"/>
      <w:pPr>
        <w:ind w:left="2880" w:hanging="360"/>
      </w:pPr>
    </w:lvl>
    <w:lvl w:ilvl="4" w:tplc="CF184882">
      <w:start w:val="1"/>
      <w:numFmt w:val="decimal"/>
      <w:lvlText w:val="%5."/>
      <w:lvlJc w:val="left"/>
      <w:pPr>
        <w:ind w:left="3600" w:hanging="360"/>
      </w:pPr>
    </w:lvl>
    <w:lvl w:ilvl="5" w:tplc="30FEC67E">
      <w:start w:val="1"/>
      <w:numFmt w:val="decimal"/>
      <w:lvlText w:val="%6."/>
      <w:lvlJc w:val="left"/>
      <w:pPr>
        <w:ind w:left="4320" w:hanging="360"/>
      </w:pPr>
    </w:lvl>
    <w:lvl w:ilvl="6" w:tplc="6DF6DFB6">
      <w:start w:val="1"/>
      <w:numFmt w:val="decimal"/>
      <w:lvlText w:val="%7."/>
      <w:lvlJc w:val="left"/>
      <w:pPr>
        <w:ind w:left="5040" w:hanging="360"/>
      </w:pPr>
    </w:lvl>
    <w:lvl w:ilvl="7" w:tplc="E0FCCB96">
      <w:start w:val="1"/>
      <w:numFmt w:val="decimal"/>
      <w:lvlText w:val="%8."/>
      <w:lvlJc w:val="left"/>
      <w:pPr>
        <w:ind w:left="5760" w:hanging="360"/>
      </w:pPr>
    </w:lvl>
    <w:lvl w:ilvl="8" w:tplc="B80E9F6C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B971F25"/>
    <w:multiLevelType w:val="hybridMultilevel"/>
    <w:tmpl w:val="0C9C2354"/>
    <w:name w:val="disc"/>
    <w:lvl w:ilvl="0" w:tplc="D6647BA8">
      <w:start w:val="1"/>
      <w:numFmt w:val="bullet"/>
      <w:lvlText w:val="•"/>
      <w:lvlJc w:val="left"/>
      <w:pPr>
        <w:ind w:left="720" w:hanging="360"/>
      </w:pPr>
    </w:lvl>
    <w:lvl w:ilvl="1" w:tplc="504E4CDE">
      <w:start w:val="1"/>
      <w:numFmt w:val="bullet"/>
      <w:lvlText w:val="•"/>
      <w:lvlJc w:val="left"/>
      <w:pPr>
        <w:ind w:left="1440" w:hanging="360"/>
      </w:pPr>
    </w:lvl>
    <w:lvl w:ilvl="2" w:tplc="72A458DA">
      <w:start w:val="1"/>
      <w:numFmt w:val="bullet"/>
      <w:lvlText w:val="•"/>
      <w:lvlJc w:val="left"/>
      <w:pPr>
        <w:ind w:left="2160" w:hanging="360"/>
      </w:pPr>
    </w:lvl>
    <w:lvl w:ilvl="3" w:tplc="F5A8B5C4">
      <w:start w:val="1"/>
      <w:numFmt w:val="bullet"/>
      <w:lvlText w:val="•"/>
      <w:lvlJc w:val="left"/>
      <w:pPr>
        <w:ind w:left="2880" w:hanging="360"/>
      </w:pPr>
    </w:lvl>
    <w:lvl w:ilvl="4" w:tplc="9C60A3E0">
      <w:start w:val="1"/>
      <w:numFmt w:val="bullet"/>
      <w:lvlText w:val="•"/>
      <w:lvlJc w:val="left"/>
      <w:pPr>
        <w:ind w:left="3600" w:hanging="360"/>
      </w:pPr>
    </w:lvl>
    <w:lvl w:ilvl="5" w:tplc="4D309E10">
      <w:start w:val="1"/>
      <w:numFmt w:val="bullet"/>
      <w:lvlText w:val="•"/>
      <w:lvlJc w:val="left"/>
      <w:pPr>
        <w:ind w:left="4320" w:hanging="360"/>
      </w:pPr>
    </w:lvl>
    <w:lvl w:ilvl="6" w:tplc="7AD0049A">
      <w:start w:val="1"/>
      <w:numFmt w:val="bullet"/>
      <w:lvlText w:val="•"/>
      <w:lvlJc w:val="left"/>
      <w:pPr>
        <w:ind w:left="5040" w:hanging="360"/>
      </w:pPr>
    </w:lvl>
    <w:lvl w:ilvl="7" w:tplc="E584A512">
      <w:start w:val="1"/>
      <w:numFmt w:val="bullet"/>
      <w:lvlText w:val="•"/>
      <w:lvlJc w:val="left"/>
      <w:pPr>
        <w:ind w:left="5760" w:hanging="360"/>
      </w:pPr>
    </w:lvl>
    <w:lvl w:ilvl="8" w:tplc="4B267E4E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D8"/>
    <w:rsid w:val="00171ED8"/>
    <w:rsid w:val="008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30D6D-DFA7-40CB-93A5-8C184E27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7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8C7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7858</Words>
  <Characters>44795</Characters>
  <Application>Microsoft Office Word</Application>
  <DocSecurity>0</DocSecurity>
  <Lines>373</Lines>
  <Paragraphs>105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Karmela Badanjak</dc:creator>
  <cp:lastModifiedBy>Karmela Badanjak</cp:lastModifiedBy>
  <cp:revision>2</cp:revision>
  <dcterms:created xsi:type="dcterms:W3CDTF">2026-02-16T13:14:00Z</dcterms:created>
  <dcterms:modified xsi:type="dcterms:W3CDTF">2026-02-16T13:14:00Z</dcterms:modified>
</cp:coreProperties>
</file>